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黑体" w:eastAsia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bCs/>
          <w:kern w:val="0"/>
          <w:sz w:val="44"/>
          <w:szCs w:val="44"/>
        </w:rPr>
        <w:t>2024年铜陵市软课题研究公开招标项目</w:t>
      </w:r>
    </w:p>
    <w:bookmarkEnd w:id="0"/>
    <w:tbl>
      <w:tblPr>
        <w:tblStyle w:val="3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6959"/>
        <w:gridCol w:w="15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695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项 目 名 称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编  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1</w:t>
            </w:r>
          </w:p>
        </w:tc>
        <w:tc>
          <w:tcPr>
            <w:tcW w:w="6959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关于铜陵市深度嵌入全省新能源汽车产业链供应链的对策研究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SRXM2024-01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2</w:t>
            </w:r>
          </w:p>
        </w:tc>
        <w:tc>
          <w:tcPr>
            <w:tcW w:w="6959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关于铜陵市深入推进国家创新型城市建设的研究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SRXM2024-02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3</w:t>
            </w:r>
          </w:p>
        </w:tc>
        <w:tc>
          <w:tcPr>
            <w:tcW w:w="6959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关于铜陵市加快推进新型工业化建设智能绿色制造强市的研究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SRXM2024-03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4</w:t>
            </w:r>
          </w:p>
        </w:tc>
        <w:tc>
          <w:tcPr>
            <w:tcW w:w="6959" w:type="dxa"/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关于铜陵市发挥沿江通海优势构建开放共融新格局的研究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SRXM2024-04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5</w:t>
            </w:r>
          </w:p>
        </w:tc>
        <w:tc>
          <w:tcPr>
            <w:tcW w:w="6959" w:type="dxa"/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关于铜陵市坚持系统观念持续有效防范化解重点领域风险的研究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SRXM2024-05</w:t>
            </w:r>
          </w:p>
        </w:tc>
      </w:tr>
    </w:tbl>
    <w:p>
      <w:pPr>
        <w:widowControl/>
        <w:jc w:val="center"/>
        <w:rPr>
          <w:rFonts w:hint="eastAsia" w:ascii="仿宋" w:hAnsi="仿宋" w:eastAsia="仿宋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NjI4NjU1ODJjZTRhODU4MTQ5ZTRjMzkxY2U4OWIifQ=="/>
  </w:docVars>
  <w:rsids>
    <w:rsidRoot w:val="7FA73188"/>
    <w:rsid w:val="7FA7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2024-02-18T09:04:00Z</dcterms:created>
  <dc:creator>Administrator</dc:creator>
  <cp:lastModifiedBy>Administrator</cp:lastModifiedBy>
  <dcterms:modified xsi:type="dcterms:W3CDTF">2024-02-18T09:05:10Z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D461E3C9FDA54C3AAA2EA3A911715A4F_11</vt:lpwstr>
  </property>
</Properties>
</file>